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right" w:leader="dot" w:pos="8306"/>
        </w:tabs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《沁园春</w:t>
      </w:r>
      <w:r>
        <w:rPr>
          <w:rFonts w:hint="eastAsia"/>
          <w:b/>
          <w:bCs/>
          <w:sz w:val="32"/>
          <w:szCs w:val="40"/>
          <w:lang w:val="en-US" w:eastAsia="zh-CN"/>
        </w:rPr>
        <w:t>·雪</w:t>
      </w:r>
      <w:r>
        <w:rPr>
          <w:rFonts w:hint="eastAsia"/>
          <w:b/>
          <w:bCs/>
          <w:sz w:val="32"/>
          <w:szCs w:val="40"/>
          <w:lang w:eastAsia="zh-CN"/>
        </w:rPr>
        <w:t>》目录索引</w:t>
      </w:r>
    </w:p>
    <w:p>
      <w:pPr>
        <w:pStyle w:val="3"/>
        <w:tabs>
          <w:tab w:val="right" w:leader="dot" w:pos="8306"/>
        </w:tabs>
        <w:rPr>
          <w:sz w:val="32"/>
          <w:szCs w:val="40"/>
        </w:rPr>
      </w:pPr>
      <w:r>
        <w:rPr>
          <w:rFonts w:hint="eastAsia"/>
          <w:sz w:val="32"/>
          <w:szCs w:val="40"/>
          <w:lang w:eastAsia="zh-CN"/>
        </w:rPr>
        <w:fldChar w:fldCharType="begin"/>
      </w:r>
      <w:r>
        <w:rPr>
          <w:rFonts w:hint="eastAsia"/>
          <w:sz w:val="32"/>
          <w:szCs w:val="40"/>
          <w:lang w:eastAsia="zh-CN"/>
        </w:rPr>
        <w:instrText xml:space="preserve">TOC \o "1-3" \h \u </w:instrText>
      </w:r>
      <w:r>
        <w:rPr>
          <w:rFonts w:hint="eastAsia"/>
          <w:sz w:val="32"/>
          <w:szCs w:val="40"/>
          <w:lang w:eastAsia="zh-CN"/>
        </w:rPr>
        <w:fldChar w:fldCharType="separate"/>
      </w:r>
      <w:r>
        <w:rPr>
          <w:rFonts w:hint="eastAsia"/>
          <w:sz w:val="32"/>
          <w:szCs w:val="40"/>
          <w:lang w:eastAsia="zh-CN"/>
        </w:rPr>
        <w:fldChar w:fldCharType="begin"/>
      </w:r>
      <w:r>
        <w:rPr>
          <w:rFonts w:hint="eastAsia"/>
          <w:sz w:val="32"/>
          <w:szCs w:val="40"/>
          <w:lang w:eastAsia="zh-CN"/>
        </w:rPr>
        <w:instrText xml:space="preserve"> HYPERLINK \l _Toc32288 </w:instrText>
      </w:r>
      <w:r>
        <w:rPr>
          <w:rFonts w:hint="eastAsia"/>
          <w:sz w:val="32"/>
          <w:szCs w:val="40"/>
          <w:lang w:eastAsia="zh-CN"/>
        </w:rPr>
        <w:fldChar w:fldCharType="separate"/>
      </w:r>
      <w:r>
        <w:rPr>
          <w:rFonts w:hint="eastAsia"/>
          <w:sz w:val="32"/>
          <w:szCs w:val="40"/>
          <w:lang w:eastAsia="zh-CN"/>
        </w:rPr>
        <w:t>《沁园春</w:t>
      </w:r>
      <w:r>
        <w:rPr>
          <w:rFonts w:hint="eastAsia"/>
          <w:sz w:val="32"/>
          <w:szCs w:val="40"/>
          <w:lang w:val="en-US" w:eastAsia="zh-CN"/>
        </w:rPr>
        <w:t>·雪</w:t>
      </w:r>
      <w:r>
        <w:rPr>
          <w:rFonts w:hint="eastAsia"/>
          <w:sz w:val="32"/>
          <w:szCs w:val="40"/>
          <w:lang w:eastAsia="zh-CN"/>
        </w:rPr>
        <w:t>》赏析</w:t>
      </w:r>
      <w:r>
        <w:rPr>
          <w:sz w:val="32"/>
          <w:szCs w:val="40"/>
        </w:rPr>
        <w:tab/>
      </w:r>
      <w:r>
        <w:rPr>
          <w:sz w:val="32"/>
          <w:szCs w:val="40"/>
        </w:rPr>
        <w:fldChar w:fldCharType="begin"/>
      </w:r>
      <w:r>
        <w:rPr>
          <w:sz w:val="32"/>
          <w:szCs w:val="40"/>
        </w:rPr>
        <w:instrText xml:space="preserve"> PAGEREF _Toc32288 </w:instrText>
      </w:r>
      <w:r>
        <w:rPr>
          <w:sz w:val="32"/>
          <w:szCs w:val="40"/>
        </w:rPr>
        <w:fldChar w:fldCharType="separate"/>
      </w:r>
      <w:r>
        <w:rPr>
          <w:sz w:val="32"/>
          <w:szCs w:val="40"/>
        </w:rPr>
        <w:t>1</w:t>
      </w:r>
      <w:r>
        <w:rPr>
          <w:sz w:val="32"/>
          <w:szCs w:val="40"/>
        </w:rPr>
        <w:fldChar w:fldCharType="end"/>
      </w:r>
      <w:r>
        <w:rPr>
          <w:rFonts w:hint="eastAsia"/>
          <w:sz w:val="32"/>
          <w:szCs w:val="40"/>
          <w:lang w:eastAsia="zh-CN"/>
        </w:rPr>
        <w:fldChar w:fldCharType="end"/>
      </w:r>
    </w:p>
    <w:p>
      <w:pPr>
        <w:pStyle w:val="3"/>
        <w:tabs>
          <w:tab w:val="right" w:leader="dot" w:pos="8306"/>
        </w:tabs>
        <w:rPr>
          <w:sz w:val="32"/>
          <w:szCs w:val="40"/>
        </w:rPr>
      </w:pPr>
      <w:r>
        <w:rPr>
          <w:rFonts w:hint="eastAsia"/>
          <w:sz w:val="32"/>
          <w:szCs w:val="40"/>
          <w:lang w:eastAsia="zh-CN"/>
        </w:rPr>
        <w:fldChar w:fldCharType="begin"/>
      </w:r>
      <w:r>
        <w:rPr>
          <w:rFonts w:hint="eastAsia"/>
          <w:sz w:val="32"/>
          <w:szCs w:val="40"/>
          <w:lang w:eastAsia="zh-CN"/>
        </w:rPr>
        <w:instrText xml:space="preserve"> HYPERLINK \l _Toc11255 </w:instrText>
      </w:r>
      <w:r>
        <w:rPr>
          <w:rFonts w:hint="eastAsia"/>
          <w:sz w:val="32"/>
          <w:szCs w:val="40"/>
          <w:lang w:eastAsia="zh-CN"/>
        </w:rPr>
        <w:fldChar w:fldCharType="separate"/>
      </w:r>
      <w:r>
        <w:rPr>
          <w:rFonts w:hint="eastAsia"/>
          <w:sz w:val="32"/>
          <w:szCs w:val="40"/>
          <w:lang w:eastAsia="zh-CN"/>
        </w:rPr>
        <w:t>《沁园春·雪》文学艺术特征分析</w:t>
      </w:r>
      <w:r>
        <w:rPr>
          <w:sz w:val="32"/>
          <w:szCs w:val="40"/>
        </w:rPr>
        <w:tab/>
      </w:r>
      <w:r>
        <w:rPr>
          <w:sz w:val="32"/>
          <w:szCs w:val="40"/>
        </w:rPr>
        <w:fldChar w:fldCharType="begin"/>
      </w:r>
      <w:r>
        <w:rPr>
          <w:sz w:val="32"/>
          <w:szCs w:val="40"/>
        </w:rPr>
        <w:instrText xml:space="preserve"> PAGEREF _Toc11255 </w:instrText>
      </w:r>
      <w:r>
        <w:rPr>
          <w:sz w:val="32"/>
          <w:szCs w:val="40"/>
        </w:rPr>
        <w:fldChar w:fldCharType="separate"/>
      </w:r>
      <w:r>
        <w:rPr>
          <w:sz w:val="32"/>
          <w:szCs w:val="40"/>
        </w:rPr>
        <w:t>4</w:t>
      </w:r>
      <w:r>
        <w:rPr>
          <w:sz w:val="32"/>
          <w:szCs w:val="40"/>
        </w:rPr>
        <w:fldChar w:fldCharType="end"/>
      </w:r>
      <w:r>
        <w:rPr>
          <w:rFonts w:hint="eastAsia"/>
          <w:sz w:val="32"/>
          <w:szCs w:val="40"/>
          <w:lang w:eastAsia="zh-CN"/>
        </w:rPr>
        <w:fldChar w:fldCharType="end"/>
      </w:r>
    </w:p>
    <w:p>
      <w:pPr>
        <w:pStyle w:val="3"/>
        <w:tabs>
          <w:tab w:val="right" w:leader="dot" w:pos="8306"/>
        </w:tabs>
        <w:rPr>
          <w:sz w:val="32"/>
          <w:szCs w:val="40"/>
        </w:rPr>
      </w:pPr>
      <w:r>
        <w:rPr>
          <w:rFonts w:hint="eastAsia"/>
          <w:sz w:val="32"/>
          <w:szCs w:val="40"/>
          <w:lang w:eastAsia="zh-CN"/>
        </w:rPr>
        <w:fldChar w:fldCharType="begin"/>
      </w:r>
      <w:r>
        <w:rPr>
          <w:rFonts w:hint="eastAsia"/>
          <w:sz w:val="32"/>
          <w:szCs w:val="40"/>
          <w:lang w:eastAsia="zh-CN"/>
        </w:rPr>
        <w:instrText xml:space="preserve"> HYPERLINK \l _Toc22043 </w:instrText>
      </w:r>
      <w:r>
        <w:rPr>
          <w:rFonts w:hint="eastAsia"/>
          <w:sz w:val="32"/>
          <w:szCs w:val="40"/>
          <w:lang w:eastAsia="zh-CN"/>
        </w:rPr>
        <w:fldChar w:fldCharType="separate"/>
      </w:r>
      <w:r>
        <w:rPr>
          <w:rFonts w:hint="eastAsia"/>
          <w:sz w:val="32"/>
          <w:szCs w:val="40"/>
          <w:lang w:eastAsia="zh-CN"/>
        </w:rPr>
        <w:t>毛泽东书写《沁园春</w:t>
      </w:r>
      <w:r>
        <w:rPr>
          <w:rFonts w:hint="eastAsia"/>
          <w:sz w:val="32"/>
          <w:szCs w:val="40"/>
          <w:lang w:val="en-US" w:eastAsia="zh-CN"/>
        </w:rPr>
        <w:t>·雪</w:t>
      </w:r>
      <w:r>
        <w:rPr>
          <w:rFonts w:hint="eastAsia"/>
          <w:sz w:val="32"/>
          <w:szCs w:val="40"/>
          <w:lang w:eastAsia="zh-CN"/>
        </w:rPr>
        <w:t>》始末</w:t>
      </w:r>
      <w:r>
        <w:rPr>
          <w:sz w:val="32"/>
          <w:szCs w:val="40"/>
        </w:rPr>
        <w:tab/>
      </w:r>
      <w:r>
        <w:rPr>
          <w:sz w:val="32"/>
          <w:szCs w:val="40"/>
        </w:rPr>
        <w:fldChar w:fldCharType="begin"/>
      </w:r>
      <w:r>
        <w:rPr>
          <w:sz w:val="32"/>
          <w:szCs w:val="40"/>
        </w:rPr>
        <w:instrText xml:space="preserve"> PAGEREF _Toc22043 </w:instrText>
      </w:r>
      <w:r>
        <w:rPr>
          <w:sz w:val="32"/>
          <w:szCs w:val="40"/>
        </w:rPr>
        <w:fldChar w:fldCharType="separate"/>
      </w:r>
      <w:r>
        <w:rPr>
          <w:sz w:val="32"/>
          <w:szCs w:val="40"/>
        </w:rPr>
        <w:t>5</w:t>
      </w:r>
      <w:r>
        <w:rPr>
          <w:sz w:val="32"/>
          <w:szCs w:val="40"/>
        </w:rPr>
        <w:fldChar w:fldCharType="end"/>
      </w:r>
      <w:r>
        <w:rPr>
          <w:rFonts w:hint="eastAsia"/>
          <w:sz w:val="32"/>
          <w:szCs w:val="40"/>
          <w:lang w:eastAsia="zh-CN"/>
        </w:rPr>
        <w:fldChar w:fldCharType="end"/>
      </w:r>
    </w:p>
    <w:p>
      <w:pPr>
        <w:pStyle w:val="2"/>
        <w:jc w:val="both"/>
        <w:rPr>
          <w:rFonts w:hint="eastAsia"/>
          <w:sz w:val="44"/>
          <w:szCs w:val="40"/>
          <w:lang w:eastAsia="zh-CN"/>
        </w:rPr>
      </w:pPr>
      <w:r>
        <w:rPr>
          <w:rFonts w:hint="eastAsia"/>
          <w:sz w:val="44"/>
          <w:szCs w:val="40"/>
          <w:lang w:eastAsia="zh-CN"/>
        </w:rPr>
        <w:fldChar w:fldCharType="end"/>
      </w:r>
      <w:bookmarkStart w:id="0" w:name="_Toc32288"/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rPr>
          <w:rFonts w:hint="eastAsia"/>
          <w:sz w:val="44"/>
          <w:szCs w:val="40"/>
          <w:lang w:eastAsia="zh-CN"/>
        </w:rPr>
      </w:pP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《沁园春</w:t>
      </w:r>
      <w:r>
        <w:rPr>
          <w:rFonts w:hint="eastAsia"/>
          <w:lang w:val="en-US" w:eastAsia="zh-CN"/>
        </w:rPr>
        <w:t>·雪</w:t>
      </w:r>
      <w:r>
        <w:rPr>
          <w:rFonts w:hint="eastAsia"/>
          <w:lang w:eastAsia="zh-CN"/>
        </w:rPr>
        <w:t>》赏析</w:t>
      </w:r>
      <w:bookmarkEnd w:id="0"/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毛泽东诗词是中国革命的史诗，是中华诗词海洋中的一朵奇葩。《沁园春·雪》更被南社盟主柳亚子盛赞为千古绝唱。这首词一直是众人的最爱，每次读来都仿佛又回到了那个战火纷飞的年代，又看到了那个指点江山的伟人，不由地沉醉于那种豪放的风格、磅礴的气势、深远的意境、广阔的胸怀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然而，从发表之日起，这首词就遭到了诸多恶意的攻击，引发了旷日持久的争论。有人说它有帝王思想、君主气象；有人说它夸大自吹、离题万里；有人说它比喻不当、缺乏转折；有人说它词意稀疏、平淡无奇；甚至有人说它是模仿之作、旁人代笔……断章取义且流于表面，竟视金玉如砖石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艺术追求含蕴，词中别有洞天。 这首词因雪而得、以雪冠名，却并非为雪所作，而是在借雪言志。它隐藏了太多的秘</w:t>
      </w:r>
      <w:bookmarkStart w:id="3" w:name="_GoBack"/>
      <w:bookmarkEnd w:id="3"/>
      <w:r>
        <w:rPr>
          <w:rFonts w:hint="eastAsia"/>
          <w:lang w:eastAsia="zh-CN"/>
        </w:rPr>
        <w:t>密，包纳着无尽的玄机。其中的每一句都意有所指，是诗人所思所想的真实流露，是诗人对许多重大问题给出的回答。其情感之真挚、寓意之深远、哲理之精辟，令人拍案叫绝。</w:t>
      </w:r>
    </w:p>
    <w:p>
      <w:pPr>
        <w:ind w:firstLine="422" w:firstLineChars="200"/>
        <w:rPr>
          <w:rFonts w:hint="eastAsia"/>
          <w:b/>
          <w:bCs/>
          <w:highlight w:val="none"/>
          <w:lang w:eastAsia="zh-CN"/>
        </w:rPr>
      </w:pPr>
      <w:r>
        <w:rPr>
          <w:rFonts w:hint="eastAsia"/>
          <w:b/>
          <w:bCs/>
          <w:highlight w:val="none"/>
          <w:lang w:eastAsia="zh-CN"/>
        </w:rPr>
        <w:t>认清局势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“北国风光，千里冰封，万里雪飘，望长城内外，惟余莽莽，大河上下，顿失滔滔。”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好一个周天寒彻，好一场漫天大雪，好一番人间苦难！天地间被风雪改变了容颜，只见长城内外苍茫一片，了无生机，连滔滔黄河也被雪冻冰封，不再奔流。神州的北国仿佛进入了一种死寂状态。让人联想起了柳宗元写雪的名句“千山鸟飞绝，万径人踪灭”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1936年2月，毛泽东率“中国人民红军抗日先锋军”渡过黄河，准备转往绥远对日作战。在陕西清涧县袁家沟筹划渡河时，突然飘起鹅毛大雪，他登高远望，面对苍茫大地，胸中豪情激荡，写下了这首词。其所在地，北距长城约150公里，东距黄河约25公里。可见，词中描写的不全是实景，而更多地是诗人脑海中的景象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长城是中华民族的象征。它屹立在中华大地的辽阔北疆，它代表着中华儿女的顽强不屈，它作为中原的万里防线曾无数次阻挡了外族的入侵。在雄伟的长城内外，正是一片战火硝烟。日本人威胁华北，炮口直指平津要地；殷汝耕投敌卖国，组织“冀东自治政府”；蒋介石不顾大义，鼓吹攘外必先安内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黄河是中华民族的母亲河。它奔腾咆哮着滚滚向前，它无私哺育着华夏文明，它与历史之河一同流淌见证着悠悠五千年荣辱兴衰。在浩荡的黄河之畔，又是一场生死搏杀。国民党集结了东北军、西北军、中央军，几十万军队围攻解放区。而中央红军刚刚到达陕北，人马只剩八千，立足未稳，粮弹奇缺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站在群山之巅，顶着刺骨寒风，面对漫天飞雪，你会有怎样的心态呢？作为红军统帅，冒着内战炮火，迎对列强欺凌，你会做怎样的回答呢？广阔富饶的中华大地会冰封吗？浩瀚深长的中华历史之河会断流吗？从诗句中可以看到，毛泽东面临着怎样艰难的困局，拥有着怎样惊人的洞察，又进行着怎样深刻的思考！</w:t>
      </w:r>
    </w:p>
    <w:p>
      <w:pPr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指引战斗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“山舞银蛇，原驰蜡象，欲与天公试比高。”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“舞”指飞舞，形容群山披雪似“银蛇”，蜿蜒曲折。“驰”指奔驰，形容白雪覆盖的丘陵如飞象奔驰。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“舞”和“驰”通过以动写静，形象地赋予了高原飞动的气势，使之生机勃勃。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刹那间，群山起舞，灵动如无数银蛇；高原奔驰，威猛如漫野蜡象。整个世界由死寂变成了欢腾，天地之间充盈着无穷的生机。风雪是天公之所赐，苦难乃历史之必然，但我们要打破冰封、战胜苦难，与天公一决高下。这就是一个强者对天公的回答，这就是一个民族对命运的回答！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但与天意对抗，需要怎样的力量、勇气和智慧呢？静默的群山起舞了，沉睡的高原觉醒了，化作了千军万马，在大地上纵横驰骋。群山在他手中成了战斗的武器，高原在他眼里就是胜利的阶梯。其精彩处，实难用语言来形容了！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他发现了人民的力量。他对中国社会有着深刻的理解和研究。他唤醒人民起来造反，催发出中华民族的惊人潜力。那力量是无可匹敌的，只能用群山和高原来比拟；那力量可以化腐朽为神奇，使整个大地都焕发出勃勃生机。经过革命思想的洗礼，东亚病夫就成了无敌金刚；经过万里长征的洗礼，工农红军已成了无敌劲旅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他秉承了不屈的性格。他与他的兵将们都拥有着一种大无畏的胆气，不为任何敌人所吓倒。他们是永不言败的斗士，意志象群山和高原一样顽强。面对挑战，没有一点儿畏惧，有的只是超人的冷静；面对苦难，没有一点儿哀愁，有的只是高昴的斗志。汽油筒能当大炮来用，炸药包成了坦克克星，枪炮声宛如战地交响……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他掌握了战争的规律。他的军事思想的核心之一就是“动”，战略战术上都充满了一种灵性。他擅长在敌军重兵集团中灵活穿插，他能够在对方铁壁合围中出奇制胜。他的运动战让任何敌人为之折服，他的每一次胜利都象是一个奇迹。他以近乎艺术化的手法，导演出一幕幕战争力作，将兵法演绎到了出神入化的境界。</w:t>
      </w:r>
    </w:p>
    <w:p>
      <w:pPr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预言胜利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“须晴日，看红装素裹，分外妖娆”。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弹指间，已是云开日出；谈笑间，樯橹灰飞烟灭。这是想象雪后天晴的美丽景色。毛泽东早已经看到了战争的结局，向全世界发出了胜利的预言。那字里行间所透露出来的分明是扭转乾坤的气魄，分明是洞悉时空的慧眼。中国革命注定是一场极其艰难曲折、惊心动魄的斗争，但人民一定会胜利，革命一定会成功。雪后必然会天晴，不应有丝毫怀疑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经常有人把“红装”误写成“红妆”，或认为两词意思相近，其实一字之差有天壤之别。红色代表着激情、忠诚、鲜血、革命，是我们团旗、党旗、军旗、国旗的主色。而给锦绣河山披上“红装”则象征了革命的彻底胜利。这一句正是在约亲密的战友们，等革命胜利之后重来看雪。红装与素裹并存，却没有丝毫矛盾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革命进程中经常有人会疑问：我们如此弱小，敌人那样强大，红旗究竟能打多久？星星之火可以燎原。人民军队的特点就是越打越强、越打越多。即使是第五次反围剿这样的惨败和二万五千里长征这样的艰险，也不曾把革命的火种扑灭。而用毛泽东思想武装起来的革命军队，必会由小到大、由弱到强，成为所向披靡的无敌之师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革命的胜利绝非偶然。虽然他依靠的是一个破破烂烂的中国，统帅的是一支工农组成的军队，装备的是一些战场缴来的枪弹，但已经没有什么力量能战胜中国人民。在随后的17年里，他领导中国人民接连战胜了凶残至极的日本法西斯，横扫了反动透顶的蒋介石集团，打败了不可一世的美帝国主义。在他面前，帝国主义和反动派都是纸老虎。</w:t>
      </w:r>
    </w:p>
    <w:p>
      <w:pPr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赤子之心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“江山如此多娇，引无数英雄竞折腰。”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这一段承上启下，祖国的山河是多么壮美。爱国主义是人类最崇高的感情之一，是诗人所有智慧和力量的源泉，也是他最大的精神财富。雪景唤起了他强烈的民族自豪感，激发了他“天将降大任于斯人”的历史使命感，使他心中充盈了无比的热爱和无限的激情。帝国主义列强妄图侵占这大好河山，而我们才是这里真正的主人！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爱国情感造就出无数英雄。世界上没有不爱国的英雄，爱国与英雄之间总有一根红线相连。国家危难时刻，对祖国博大深厚的爱必然转化成誓死保卫她的决心。一种神圣的使命感就像火团一样，在每一个爱国者的胸中熊熊燃烧。我们要叫所有侵略者知道：中华是一块英雄辈出之地，神州是一块不可征服之地！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多么炽热的赤子情怀。早在学生时代，毛泽东就立志报国，身无分文徒步游历，积极接受进步思想。民族危亡关头，他建立抗日民族统一战线，率领红军奋起抗击日本侵略者。革命战争时期，他转战于大江南北，并有六位亲人为革命事业献出了生命。朝鲜战争爆发，他又把儿子派到前线，壮烈牺牲之后埋葬在了异国他乡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多么忠诚的赤子之心。峥嵘岁月里，中国共产党汇集了全民族最有才能和骨气的精英人物，组成了一支最彻底的民族解放的先锋队。他们曾无数次弹尽粮绝，他们曾无数次濒临险境，他们曾吃草根维持生命，他们曾面对着非人酷刑。他们只要投向国民党或者日本鬼子，就可以升官发财，享受荣华富贵，但他们忠心不改。</w:t>
      </w:r>
    </w:p>
    <w:p>
      <w:pPr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文武之道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“惜秦皇汉武，略输文采；唐宗宋祖，稍逊风骚。一代天骄，成吉思汗，只识弯弓射大雕。”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立国当以文武之道，武能平定乱世，文可富民兴邦。武力统一是前提，在混战中是不可能安心建设的；武力强盛是保障，在动荡中是不可能发展经济的。而只有文治才能使人民安居乐业，才能使国家走向强盛，才能使山河更加壮丽。“文采”、“风骚”，在这里显然是借用，指出了封建统治者们缺少文治的弱点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武功曾经几度辉煌。扫除六合的秦始皇；平定匈奴的汉武帝；南征北战的唐太宗；结束纷争的宋太祖；纵横驰骋的成吉思汗……这些雄才大略的封建帝王、中华民族的天之骄子，把一部中华民族的历史演绎得那样烟波浩渺。历史不仅为我们论证了这个古老国度的战斗力，更为我们树立了驱除一切敌寇的自信心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文治需要某种思想。封建时代的孔孟学说是为统治阶级服务的，只有少数人从中受益，也只会出现短暂的盛世。他不仅找到了马列主义，而且与中国国情相结合形成了独特的毛泽东思想。这种思想是为大多数人谋利益的，是为全体人民服务的，只有在它的指导下，中国才能实现富强的梦想，才会出现长久的盛世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正是有了上述认识，所以他喜欢握笔而不喜欢摸枪，一生与书为伴而一生未发一枪。投身革命后，残酷而沉痛的现实才使他不得不抓起了枪杆子。在长征途中，贺子珍为他缝了一个装笔墨纸砚的多层口袋，他开玩笑地说：“我要用‘文房四宝’打败国民党反动派。”可以说，他是用笔杆子加枪杆子打碎了旧世界。</w:t>
      </w:r>
    </w:p>
    <w:p>
      <w:pPr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光明之路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“俱往矣，数风流人物，还看今朝。”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好一句惊天之语！言有尽而意无穷，堪称为点睛妙笔。这震撼千古的结语，发出了超越历史的宣言，道出了改造世界的壮志，展示了对革命事业的坚定信念，流露了对光明前途的无比信心。那一刻思接千载，那一刻洞悉未来，那一刻豪情万丈，那一刻傲视古今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什么人才有资格评述千秋功过呢？“俱往矣”，写的是封建主义和共产主义的交替。在中国延续了两千多年的封建社会结束了，帝王们乘着历史的航船渐渐远去，永不复返。共产党人要平定乱世，一扫民族近百年的屈辱和灾难，更要开创盛世，建立一个没有剥削和压迫的新中国。也只有共产党人能肩负起使祖国大地繁荣昌盛的万钧重担，能肩负起使中华民族重铸辉煌的历史责任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什么人堪称历史中的风流人物呢？毛泽东当然是其中之一，而且还是其中的佼佼者，但“无数英雄”绝不仅指五位杰出帝王，“风流人物”也绝不是在称孤道寡。他深知，历史从来不是某个人的独角戏，历史必将催发出无数英雄豪杰、风流人物。邓小平、江泽民、胡锦涛……他们为治理国家而呕心沥血；董存瑞、黄继光、邱少云……他们为保卫国家而流血牺牲；张思德、王进喜、雷锋……他们为建设国家而无私奉献。这一句正是对所有革命者和建设者的赞美，是对所有为祖国献身者的赞美，是对所有为人类造福者的赞美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是什么激发了诗人的创作灵感呢？诗成时，毛泽东思想已经基本成型，他完成了中华民族几千年的寻找，他为中国开辟了一条无比辉煌的光明大道，他已经远眺到了一条升腾而起的东方巨龙。自豪感、愉悦感等人生顶峰体验奔涌而出，让他怎能不引吭高歌！于是冰雪有了诗情，山河有了画意，于是才有了这千古绝唱！</w:t>
      </w:r>
    </w:p>
    <w:p>
      <w:pPr>
        <w:ind w:firstLine="422" w:firstLineChars="200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否定帝王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有人借这首词攻击毛泽东想当帝王，甚至批判他是封建君主，却恰恰暴露了他们自己的浅薄和狭隘。确实，词中充盈着雄视天下的气魄，显示出包纳天地的胸怀。以数千人马迎战百万之众的领袖人物怎能没有这样的气质？这是一种领袖风范，而绝非什么帝王思想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作者请出历史人物，并非为了回到历史。对于中国历史中最杰出的五位帝王，他用了一个“惜”字，余者如晋武帝、隋文帝、朱元璋、清圣祖……就更加不值一提。他对封建礼教深恶痛绝，对封建君主深怀蔑视，对官僚风气深感忧虑。甚至于，他发动了那场文化大革命，要把一切封建意识和落后思想彻底地清除干净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毛泽东一生不慕富贵。青年时代，他就写下了“粪土当年万户侯”的诗句，帝王之位对他而言何足挂齿！他视察大江南北，从不带家属。他住中南海，亲戚都不许住。他的孩子坐公共汽车上学，在公共食堂吃饭，长大后没有享受特殊待遇，也没有一个当官的。连他的稿酬也作为党费来管理，不曾留给子女和亲戚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毛泽东一生不图享乐。长征途中，他始终坚持步行，和普通战士一起爬雪山过草地，吃尽了各种艰难困苦；延安时期，他住在两间窑洞，所有的财物是一卷铺盖、一顶蚊帐和几件衣物；建国以后，他依然生活简朴，饮食只要求粗茶淡饭，睡衣上竟有73块补丁；困难时期，他主动地节衣缩食，与全国人民同甘共苦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1944年，毛泽东在张思德同志追悼会上发表《为人民服务》的讲话。他把自己当作人民的勤务员，用一生履行着“为人民服务”的诺言。他曾对人说：“我死后把我火化，骨灰撒到长江里喂鱼。你就对鱼说：鱼儿呀，毛泽东给你们赔不是来了，他生前吃了你们，你们吃他吧，你们吃肥了好去为人民服务。”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1949年，在开国大典上，毛泽东动情地高喊：“人民万岁！” 他始终站在人民大众的立场上，相信人民，依靠人民，把人民当作真正的英雄。他相信人民拥有惊人的英勇、超人的耐力、伟大的技巧和无比的坚决。他领导革命的历程就是全心全意依靠人民群众的历程。他说：“人民，只有人民，才是创造世界历史的动力”。</w:t>
      </w:r>
    </w:p>
    <w:p>
      <w:pPr>
        <w:ind w:firstLine="420" w:firstLineChars="200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  <w:bookmarkStart w:id="1" w:name="_Toc11255"/>
      <w:r>
        <w:rPr>
          <w:rFonts w:hint="eastAsia"/>
          <w:lang w:eastAsia="zh-CN"/>
        </w:rPr>
        <w:t>《沁园春·雪》文学艺术特征分析</w:t>
      </w:r>
      <w:bookmarkEnd w:id="1"/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《沁园春·雪》分上下阕。上阕因雪起兴，借雪景抒写情怀。起笔不凡，“北国风光，千里冰封，万里雪飘。”不先写“雪”字，而首推“北国风光”，不仅突出了诗人对北方雪景的感受印象，而且造境独到优雅，可以冠结全篇。接着是对雪景的大笔铺陈，“望长城内外，惟余莽莽；大河上下，顿失滔滔。”大雪覆盖了一切，黄河也失去了滔滔流动貌，无边无际的茫茫雪景。这里“惟余莽莽”“顿失滔滔”，十分准确、传神，凸现了北方雪景的深度。“山舞银蛇，原驰蜡象，欲与天公试比高。”可谓静中写动，披满白雪、连绵起伏的群山，像银蛇舞动，而白雪皑皑的高原丘陵地带，像蜡白色的象群在奔兀。群山高原与低垂的冬雪云天相连成一片，因而作者信手拈来“欲与天公试比高”之句。“银蛇”“蜡象”两个生动比喻，一下子赋予雪境以生命感，且有动中见静的艺术效果。这就“水到渠成”地引出“须晴日，看红装素裹，分外妖娆”。多么自然巧妙的联想，使雪境发生阴晴之间的转化，一个“红装素裹”的美人的象征，初步形成这首词的意境。</w:t>
      </w:r>
    </w:p>
    <w:p>
      <w:pPr>
        <w:ind w:firstLine="420" w:firstLineChars="200"/>
        <w:rPr>
          <w:rFonts w:hint="eastAsia"/>
          <w:lang w:eastAsia="zh-CN"/>
        </w:rPr>
      </w:pP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下阕首句“江山如此多娇，引无数英雄竞折腰”。可谓承上启下，将全词连接得天衣无缝。“江山”这一双关语词，与上片中的“长城”“大河”相融合，具有画龙点睛之意，“江山如此多娇”，可以理解为这首词的基本构架。作为政治家的词人，对“北国风光”的抒怀，最终还是对江山社稷的关怀。1935年末，毛泽东领导中央红军完成了二万五千里长征胜利到达陕北，中国革命有了新的转机。毛泽东怀着拯救中华民族、创建新中国的政治抱负和雄才大略，必然会在这首词中曲折地反映出来，并且不同凡响。古往今来，无数英雄豪杰为江山社稷奔走操劳。“俱往矣，数风流人物，还看今朝。”成为六七十年代称誉“无产阶级英雄人物”的绝句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《沁园春·雪》突出体现了毛泽东词风的雄健、大气。作为领袖毛泽东的博大的胸襟和抱负，与广阔雄奇的北国雪景发生同构，作者目接“千里”“万里”，“欲与天公试比高”；视通几千年，指点江山主沉浮。充分展示了雄阔豪放、气势磅礴的风格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全词用字遣词，设喻用典，明快有力，挥洒自如，辞义畅达，一泻千里。毛泽东讲究词章格律，但又不刻意追求。全词合律入韵，似无意而为之。虽属旧体却给人以面貌一新之感。不单是从词境中表达出的新的精神世界，而首先是意象表达系统的词语，鲜活生动，凝练通俗，易诵易唱易记。</w:t>
      </w:r>
    </w:p>
    <w:p>
      <w:pPr>
        <w:ind w:firstLine="420" w:firstLineChars="200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  <w:bookmarkStart w:id="2" w:name="_Toc22043"/>
      <w:r>
        <w:rPr>
          <w:rFonts w:hint="eastAsia"/>
          <w:lang w:eastAsia="zh-CN"/>
        </w:rPr>
        <w:t>毛泽东书写《沁园春</w:t>
      </w:r>
      <w:r>
        <w:rPr>
          <w:rFonts w:hint="eastAsia"/>
          <w:lang w:val="en-US" w:eastAsia="zh-CN"/>
        </w:rPr>
        <w:t>·雪</w:t>
      </w:r>
      <w:r>
        <w:rPr>
          <w:rFonts w:hint="eastAsia"/>
          <w:lang w:eastAsia="zh-CN"/>
        </w:rPr>
        <w:t>》始末</w:t>
      </w:r>
      <w:bookmarkEnd w:id="2"/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1945年重庆谈判期间，毛泽东应柳亚子索诗之邀，将《沁园春·雪》相赠。毛附信说，这是“初到陕北看见大雪时”所填的一首词，“录呈审正”。柳亚子《沁园春·雪》称赞道：“……得其初到陕北看大雪沁园春一阕，展读之馀，叹为中国有词以来第一作手，虽苏、辛犹未能抗耳，况馀子乎！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柳亚子很快写出和词，当月下旬他将两首词作送至中苏文化协会举办的“柳诗尹画联展”展出，并递交《新华日报》希望同时发表。</w:t>
      </w:r>
    </w:p>
    <w:p>
      <w:pPr>
        <w:rPr>
          <w:rFonts w:hint="eastAsia"/>
        </w:rPr>
      </w:pPr>
      <w:r>
        <w:rPr>
          <w:rFonts w:hint="eastAsia"/>
        </w:rPr>
        <w:t>然而，《新华日报》是中共在重庆公开发行的报纸，报社负责人提出要向延安请示。报社规定，发表毛泽东词作需经本人同意，11月11日的《新华日报》只是单独刊登了柳亚子的《和毛润之先生咏雪词》。随之，很多人开始打听毛泽东的咏雪词，这引起时任重庆《新民报·晚刊》副刊编辑吴祖光的注意。他先从黄苗子处抄得毛泽东词稿，而黄苗子则是从王昆仑处抄得，抄稿中遗漏了两三个短句，但大致还能理解词意。吴祖光跑了几处，连找了几个人，把三个传抄本凑在一起，终于拿到一首完整的《沁园春·雪》，决定公开发表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1945年11月14日，《新民报·晚刊》副刊“西方夜谭”刊发《毛词·沁园春》，并附加一段按语：“毛润之氏能诗词，似鲜为人知。客有抄得其《沁园春·雪》一词者，风调独绝，文情并茂。而气魄之大乃不可及。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11月28日，《大公报》也发表了毛唱柳和的两首咏雪词。郭沫若率先发表两首和词，盛赞毛泽东咏雪词“气度雍容格调高”。邓拓、陈毅等人也都依韵奉和。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12月4日，国民党中央机关报《中央日报》等报刊也同时登出 “围剿”毛泽东《沁园春·雪》的和词，意图在意境、气势和文字上超过毛泽东，但是“稍逊风骚”。据称，当年刊发的和词不下50首，评论将近20篇。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据统计，中共中央有关机构1996年认定并结集出版的毛诗词作品67首，其中47首留有毛的手迹，累计约130件，其中《沁园春·雪》自书愈八件，只有《清平乐·六盘山》的书写件数才能等量齐观。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注</w:t>
      </w:r>
      <w:r>
        <w:rPr>
          <w:rFonts w:hint="eastAsia"/>
          <w:lang w:eastAsia="zh-CN"/>
        </w:rPr>
        <w:t>：本篇资料取自网络铁血网，仅供参考。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04884"/>
    <w:rsid w:val="4C106326"/>
    <w:rsid w:val="70C0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0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2018-03-13T09:09:00Z</dcterms:created>
  <dc:creator>邓荣华</dc:creator>
  <cp:lastModifiedBy>邓荣华</cp:lastModifiedBy>
  <dcterms:modified xsi:type="dcterms:W3CDTF">2018-03-15T08:40:20Z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